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bookmarkStart w:id="1" w:name="_GoBack"/>
      <w:r>
        <w:rPr>
          <w:rFonts w:hint="eastAsia" w:ascii="华文中宋" w:hAnsi="华文中宋" w:eastAsia="华文中宋"/>
          <w:sz w:val="36"/>
          <w:szCs w:val="36"/>
        </w:rPr>
        <w:t>中国农垦茶业联盟章程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（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征求意见</w:t>
      </w:r>
      <w:r>
        <w:rPr>
          <w:rFonts w:hint="eastAsia" w:ascii="华文中宋" w:hAnsi="华文中宋" w:eastAsia="华文中宋"/>
          <w:sz w:val="36"/>
          <w:szCs w:val="36"/>
        </w:rPr>
        <w:t>稿）</w:t>
      </w:r>
      <w:bookmarkEnd w:id="1"/>
    </w:p>
    <w:p>
      <w:pPr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总 则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第一条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联盟名称：本联盟全称为“中国农垦茶业联盟”（以下简称“联盟”），英文译名： Tea Industry Federation of China State Farm（简称TIF</w:t>
      </w:r>
      <w:r>
        <w:rPr>
          <w:rFonts w:hint="default" w:ascii="仿宋_GB2312" w:hAnsi="仿宋_GB2312" w:eastAsia="仿宋_GB2312" w:cs="仿宋_GB2312"/>
          <w:sz w:val="28"/>
          <w:szCs w:val="28"/>
        </w:rPr>
        <w:t>C</w:t>
      </w:r>
      <w:r>
        <w:rPr>
          <w:rFonts w:hint="eastAsia" w:ascii="仿宋_GB2312" w:hAnsi="仿宋_GB2312" w:eastAsia="仿宋_GB2312" w:cs="仿宋_GB2312"/>
          <w:sz w:val="28"/>
          <w:szCs w:val="28"/>
        </w:rPr>
        <w:t>SF）。</w:t>
      </w:r>
    </w:p>
    <w:p>
      <w:pPr>
        <w:ind w:firstLine="562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第二条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联盟性质：联盟由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全国各垦区内具有民事主体资格的茶叶企业、茶（农）场</w:t>
      </w:r>
      <w:r>
        <w:rPr>
          <w:rFonts w:hint="eastAsia" w:ascii="仿宋_GB2312" w:hAnsi="仿宋_GB2312" w:eastAsia="仿宋_GB2312" w:cs="仿宋_GB2312"/>
          <w:sz w:val="28"/>
          <w:szCs w:val="28"/>
        </w:rPr>
        <w:t>及涉茶科研院所、高等院校、社会团体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等相关单位自愿组成，是共谋发展、互助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共赢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产业协作平台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第三条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目标</w:t>
      </w:r>
      <w:r>
        <w:rPr>
          <w:rFonts w:hint="eastAsia" w:ascii="仿宋_GB2312" w:hAnsi="仿宋_GB2312" w:eastAsia="仿宋_GB2312" w:cs="仿宋_GB2312"/>
          <w:sz w:val="28"/>
          <w:szCs w:val="28"/>
        </w:rPr>
        <w:t>：以推进农垦茶产业绿色、高质量发展为主题，提升农垦茶产业在国内外市场的整体竞争力为目标，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以打造生产规范、信息可溯、生态友好、特色鲜明的现代化茶产业基地为重点，</w:t>
      </w:r>
      <w:r>
        <w:rPr>
          <w:rFonts w:hint="eastAsia" w:ascii="仿宋_GB2312" w:hAnsi="仿宋_GB2312" w:eastAsia="仿宋_GB2312" w:cs="仿宋_GB2312"/>
          <w:sz w:val="28"/>
          <w:szCs w:val="28"/>
        </w:rPr>
        <w:t>联合茶产业上中下游企业、科研单位和社会团体，形成有效的产学研合作模式，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共同推进中国农垦生态茶体系建设，促进产业提质增效和可持续发展，</w:t>
      </w:r>
      <w:r>
        <w:rPr>
          <w:rFonts w:hint="eastAsia" w:ascii="仿宋_GB2312" w:hAnsi="仿宋_GB2312" w:eastAsia="仿宋_GB2312" w:cs="仿宋_GB2312"/>
          <w:sz w:val="28"/>
          <w:szCs w:val="28"/>
        </w:rPr>
        <w:t>全面提升农垦茶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产</w:t>
      </w:r>
      <w:r>
        <w:rPr>
          <w:rFonts w:hint="eastAsia" w:ascii="仿宋_GB2312" w:hAnsi="仿宋_GB2312" w:eastAsia="仿宋_GB2312" w:cs="仿宋_GB2312"/>
          <w:sz w:val="28"/>
          <w:szCs w:val="28"/>
        </w:rPr>
        <w:t>业的凝聚力、影响力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竞争力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第四条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联盟原则：</w:t>
      </w:r>
      <w:r>
        <w:rPr>
          <w:rFonts w:hint="eastAsia" w:ascii="仿宋_GB2312" w:hAnsi="仿宋_GB2312" w:eastAsia="仿宋_GB2312" w:cs="仿宋_GB2312"/>
          <w:sz w:val="28"/>
          <w:szCs w:val="28"/>
        </w:rPr>
        <w:t>政府引导、企业为主，自愿参与、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团结平等，求同存异、协作互利。</w:t>
      </w: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联盟接受农业农村部农垦局的业务指导和监督。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第二章</w:t>
      </w:r>
      <w:r>
        <w:rPr>
          <w:rFonts w:ascii="黑体" w:hAnsi="黑体" w:eastAsia="黑体" w:cs="仿宋_GB2312"/>
          <w:sz w:val="32"/>
          <w:szCs w:val="32"/>
        </w:rPr>
        <w:tab/>
      </w:r>
      <w:r>
        <w:rPr>
          <w:rFonts w:hint="eastAsia" w:ascii="黑体" w:hAnsi="黑体" w:eastAsia="黑体" w:cs="仿宋_GB2312"/>
          <w:sz w:val="32"/>
          <w:szCs w:val="32"/>
        </w:rPr>
        <w:t>联盟的主要任务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联盟的主要任务是推进茶产业信息共享、标准统一、</w:t>
      </w:r>
      <w:r>
        <w:rPr>
          <w:rFonts w:ascii="仿宋_GB2312" w:hAnsi="仿宋_GB2312" w:eastAsia="仿宋_GB2312" w:cs="仿宋_GB2312"/>
          <w:sz w:val="28"/>
          <w:szCs w:val="28"/>
        </w:rPr>
        <w:t>策略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协同</w:t>
      </w:r>
      <w:r>
        <w:rPr>
          <w:rFonts w:ascii="仿宋_GB2312" w:hAnsi="仿宋_GB2312" w:eastAsia="仿宋_GB2312" w:cs="仿宋_GB2312"/>
          <w:sz w:val="28"/>
          <w:szCs w:val="28"/>
        </w:rPr>
        <w:t>、行业自律</w:t>
      </w:r>
      <w:r>
        <w:rPr>
          <w:rFonts w:hint="eastAsia" w:ascii="仿宋_GB2312" w:hAnsi="仿宋_GB2312" w:eastAsia="仿宋_GB2312" w:cs="仿宋_GB2312"/>
          <w:sz w:val="28"/>
          <w:szCs w:val="28"/>
        </w:rPr>
        <w:t>等</w:t>
      </w:r>
      <w:r>
        <w:rPr>
          <w:rFonts w:ascii="仿宋_GB2312" w:hAnsi="仿宋_GB2312" w:eastAsia="仿宋_GB2312" w:cs="仿宋_GB2312"/>
          <w:sz w:val="28"/>
          <w:szCs w:val="28"/>
        </w:rPr>
        <w:t>，主要包括：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（一）建立交流会商机制。组织产业会商，研判市场形势，发布产业信息，了解和反映合理诉求，促进成员间信息交流、</w:t>
      </w:r>
      <w:r>
        <w:rPr>
          <w:rFonts w:ascii="仿宋_GB2312" w:hAnsi="仿宋_GB2312" w:eastAsia="仿宋_GB2312" w:cs="仿宋_GB2312"/>
          <w:sz w:val="28"/>
          <w:szCs w:val="28"/>
        </w:rPr>
        <w:t>技术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合作</w:t>
      </w:r>
      <w:r>
        <w:rPr>
          <w:rFonts w:ascii="仿宋_GB2312" w:hAnsi="仿宋_GB2312" w:eastAsia="仿宋_GB2312" w:cs="仿宋_GB2312"/>
          <w:sz w:val="28"/>
          <w:szCs w:val="28"/>
        </w:rPr>
        <w:t>、人才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交流</w:t>
      </w:r>
      <w:r>
        <w:rPr>
          <w:rFonts w:ascii="仿宋_GB2312" w:hAnsi="仿宋_GB2312" w:eastAsia="仿宋_GB2312" w:cs="仿宋_GB2312"/>
          <w:sz w:val="28"/>
          <w:szCs w:val="28"/>
        </w:rPr>
        <w:t>、资金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融通，实现资源共享、互利共赢。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二）搭建产业合作渠道。加强产业链内部合作和产业间外部协同，探索搭建茶叶生产企业间以及茶叶生产企业与销售平台、金融机构、科研单位间的合作渠道，促进营销贸易，拓展发展空间，实现产加销一体、产学研联动、利益链重塑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（三）构建技术标准体系。</w:t>
      </w:r>
      <w:r>
        <w:rPr>
          <w:rFonts w:ascii="仿宋_GB2312" w:hAnsi="仿宋_GB2312" w:eastAsia="仿宋_GB2312" w:cs="仿宋_GB2312"/>
          <w:sz w:val="28"/>
          <w:szCs w:val="28"/>
        </w:rPr>
        <w:t>推动</w:t>
      </w:r>
      <w:r>
        <w:rPr>
          <w:rFonts w:hint="eastAsia" w:ascii="仿宋_GB2312" w:hAnsi="仿宋_GB2312" w:eastAsia="仿宋_GB2312" w:cs="仿宋_GB2312"/>
          <w:sz w:val="28"/>
          <w:szCs w:val="28"/>
        </w:rPr>
        <w:t>农垦茶产业标准体系建设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，制修订符合农垦茶产业特色的中国农垦生态茶等系列团体标准，推广</w:t>
      </w:r>
      <w:r>
        <w:rPr>
          <w:rFonts w:hint="eastAsia" w:ascii="仿宋_GB2312" w:hAnsi="仿宋_GB2312" w:eastAsia="仿宋_GB2312" w:cs="仿宋_GB2312"/>
          <w:sz w:val="28"/>
          <w:szCs w:val="28"/>
        </w:rPr>
        <w:t>节本增效、优质安全、绿色生态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生产技术，打造符合现代农业发展要求的茶产业基地，促进</w:t>
      </w:r>
      <w:r>
        <w:rPr>
          <w:rFonts w:hint="eastAsia" w:ascii="仿宋_GB2312" w:hAnsi="仿宋_GB2312" w:eastAsia="仿宋_GB2312" w:cs="仿宋_GB2312"/>
          <w:sz w:val="28"/>
          <w:szCs w:val="28"/>
        </w:rPr>
        <w:t>产业转型升级和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高质量</w:t>
      </w:r>
      <w:r>
        <w:rPr>
          <w:rFonts w:hint="eastAsia" w:ascii="仿宋_GB2312" w:hAnsi="仿宋_GB2312" w:eastAsia="仿宋_GB2312" w:cs="仿宋_GB2312"/>
          <w:sz w:val="28"/>
          <w:szCs w:val="28"/>
        </w:rPr>
        <w:t>发展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（四）推介农垦茶品牌。培育和推广农垦茶品牌，挖掘品牌文化，塑造品牌形象，逐步形成以联盟为引领、生态茶品牌为特色、各成员单位茶品牌为支撑的农垦茶品牌发展体系</w:t>
      </w:r>
      <w:r>
        <w:rPr>
          <w:rFonts w:hint="default" w:ascii="仿宋_GB2312" w:hAnsi="仿宋_GB2312" w:eastAsia="仿宋_GB2312" w:cs="仿宋_GB2312"/>
          <w:sz w:val="28"/>
          <w:szCs w:val="28"/>
          <w:lang w:eastAsia="zh-Hans"/>
        </w:rPr>
        <w:t>，</w:t>
      </w:r>
      <w:r>
        <w:rPr>
          <w:rFonts w:ascii="仿宋_GB2312" w:hAnsi="仿宋_GB2312" w:eastAsia="仿宋_GB2312" w:cs="仿宋_GB2312"/>
          <w:sz w:val="28"/>
          <w:szCs w:val="28"/>
        </w:rPr>
        <w:t>引导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联盟成员</w:t>
      </w:r>
      <w:r>
        <w:rPr>
          <w:rFonts w:ascii="仿宋_GB2312" w:hAnsi="仿宋_GB2312" w:eastAsia="仿宋_GB2312" w:cs="仿宋_GB2312"/>
          <w:sz w:val="28"/>
          <w:szCs w:val="28"/>
        </w:rPr>
        <w:t>积极参加国内外茶叶博览会、展销会、推介会等，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宣传</w:t>
      </w:r>
      <w:r>
        <w:rPr>
          <w:rFonts w:ascii="仿宋_GB2312" w:hAnsi="仿宋_GB2312" w:eastAsia="仿宋_GB2312" w:cs="仿宋_GB2312"/>
          <w:sz w:val="28"/>
          <w:szCs w:val="28"/>
        </w:rPr>
        <w:t>农垦茶叶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品质</w:t>
      </w:r>
      <w:r>
        <w:rPr>
          <w:rFonts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扩大农垦茶产业品牌影响力。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（五）推动产业高质量发展。持续推进农垦茶产业供给侧结构性改革，坚持“品种培优、品质提升、品牌打造和标准化生产”发展要求，促进农垦茶产业高质量、可持续发展。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（六）其他工作。</w:t>
      </w:r>
      <w:r>
        <w:rPr>
          <w:rFonts w:ascii="仿宋_GB2312" w:hAnsi="仿宋_GB2312" w:eastAsia="仿宋_GB2312" w:cs="仿宋_GB2312"/>
          <w:sz w:val="28"/>
          <w:szCs w:val="28"/>
        </w:rPr>
        <w:t>维护联盟成员合法权益，促进农垦茶产业持续健康发展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ascii="仿宋_GB2312" w:hAnsi="仿宋_GB2312" w:eastAsia="仿宋_GB2312" w:cs="仿宋_GB2312"/>
          <w:sz w:val="28"/>
          <w:szCs w:val="28"/>
        </w:rPr>
        <w:t>承担政府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及其他</w:t>
      </w:r>
      <w:r>
        <w:rPr>
          <w:rFonts w:ascii="仿宋_GB2312" w:hAnsi="仿宋_GB2312" w:eastAsia="仿宋_GB2312" w:cs="仿宋_GB2312"/>
          <w:sz w:val="28"/>
          <w:szCs w:val="28"/>
        </w:rPr>
        <w:t>有关部门委托交办的事务；组织开展行业公益事业以及符合联盟宗旨的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其他</w:t>
      </w:r>
      <w:r>
        <w:rPr>
          <w:rFonts w:ascii="仿宋_GB2312" w:hAnsi="仿宋_GB2312" w:eastAsia="仿宋_GB2312" w:cs="仿宋_GB2312"/>
          <w:sz w:val="28"/>
          <w:szCs w:val="28"/>
        </w:rPr>
        <w:t>工作。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ind w:firstLine="640" w:firstLineChars="200"/>
        <w:jc w:val="center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第三章 </w:t>
      </w:r>
      <w:r>
        <w:rPr>
          <w:rFonts w:ascii="黑体" w:hAnsi="黑体" w:eastAsia="黑体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联盟的组织机构和职责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联盟组织结构由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成员代表大会、</w:t>
      </w:r>
      <w:r>
        <w:rPr>
          <w:rFonts w:hint="eastAsia" w:ascii="仿宋_GB2312" w:hAnsi="仿宋_GB2312" w:eastAsia="仿宋_GB2312" w:cs="仿宋_GB2312"/>
          <w:sz w:val="28"/>
          <w:szCs w:val="28"/>
        </w:rPr>
        <w:t>理事会、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常务理事会、</w:t>
      </w:r>
      <w:r>
        <w:rPr>
          <w:rFonts w:hint="eastAsia" w:ascii="仿宋_GB2312" w:hAnsi="仿宋_GB2312" w:eastAsia="仿宋_GB2312" w:cs="仿宋_GB2312"/>
          <w:sz w:val="28"/>
          <w:szCs w:val="28"/>
        </w:rPr>
        <w:t>秘书处构成。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根据工作需要，经理事会研究通过，可成立专家委员会及专题工作组等。</w:t>
      </w: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成员代表大会是联盟的最高权力机构。成员代表大</w:t>
      </w:r>
      <w:r>
        <w:rPr>
          <w:rFonts w:hint="eastAsia" w:ascii="仿宋_GB2312" w:hAnsi="仿宋_GB2312" w:eastAsia="仿宋_GB2312" w:cs="仿宋_GB2312"/>
          <w:sz w:val="28"/>
          <w:szCs w:val="28"/>
        </w:rPr>
        <w:t>会主要职责：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（一）制定和修改联盟章程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（二）审定联盟发展规划、工作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报告</w:t>
      </w:r>
      <w:r>
        <w:rPr>
          <w:rFonts w:hint="eastAsia" w:ascii="仿宋_GB2312" w:hAnsi="仿宋_GB2312" w:eastAsia="仿宋_GB2312" w:cs="仿宋_GB2312"/>
          <w:sz w:val="28"/>
          <w:szCs w:val="28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选举和罢免理事；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审议并决策</w:t>
      </w:r>
      <w:r>
        <w:rPr>
          <w:rFonts w:hint="eastAsia" w:ascii="仿宋_GB2312" w:hAnsi="仿宋_GB2312" w:eastAsia="仿宋_GB2312" w:cs="仿宋_GB2312"/>
          <w:sz w:val="28"/>
          <w:szCs w:val="28"/>
        </w:rPr>
        <w:t>重大变更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终止事宜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（五）决定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其他重大事项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第九条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成员代表大会每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年召开一次。因特殊情况需提前或延期换届的，须由理事会表决通过。会员代表大会须有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2/3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以上的成员代表出席方能召开，其决议须到会成员半数以上表决通过方能生效。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第十条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理事会是成员代表大会的执行机构，在闭会期间领导联盟开展日常工作，对成员代表大会负责。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理事会的主要职责：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（一）执行成员代表大会决议；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（二）制定和审议联盟工作计划、内部管理制度等；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（三）选举和罢免理事长、副理事长、秘书长、常务理事；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（四）领导联盟开展各项活动；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（五）决定其他重大事项。</w:t>
      </w: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第十二条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理事会每届任期</w:t>
      </w:r>
      <w:r>
        <w:rPr>
          <w:rFonts w:hint="default" w:ascii="仿宋_GB2312" w:hAnsi="仿宋_GB2312" w:eastAsia="仿宋_GB2312" w:cs="仿宋_GB2312"/>
          <w:sz w:val="28"/>
          <w:szCs w:val="28"/>
        </w:rPr>
        <w:t>4</w:t>
      </w:r>
      <w:r>
        <w:rPr>
          <w:rFonts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每年召开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ascii="仿宋_GB2312" w:hAnsi="仿宋_GB2312" w:eastAsia="仿宋_GB2312" w:cs="仿宋_GB2312"/>
          <w:sz w:val="28"/>
          <w:szCs w:val="28"/>
        </w:rPr>
        <w:t>次，由联盟理事长或者其委托人负责召集，秘书处提前发出通知，理事会全体成员或者其书面授权人出席会议</w:t>
      </w:r>
      <w:r>
        <w:rPr>
          <w:rFonts w:hint="eastAsia" w:ascii="仿宋_GB2312" w:hAnsi="仿宋_GB2312" w:eastAsia="仿宋_GB2312" w:cs="仿宋_GB2312"/>
          <w:sz w:val="28"/>
          <w:szCs w:val="28"/>
        </w:rPr>
        <w:t>。如遇特殊情况也可由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联盟</w:t>
      </w:r>
      <w:r>
        <w:rPr>
          <w:rFonts w:hint="eastAsia" w:ascii="仿宋_GB2312" w:hAnsi="仿宋_GB2312" w:eastAsia="仿宋_GB2312" w:cs="仿宋_GB2312"/>
          <w:sz w:val="28"/>
          <w:szCs w:val="28"/>
        </w:rPr>
        <w:t>秘书处提议，并经理事长同意后增加召开次数，会议须有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2/3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以上的成员代表出席方能召开，其决议须到会成员半数以上表决通过方能生效。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联盟设常务理事会。常务理事会由理事会选举产生，在理事会闭会期间行使第十一条第一、二、四的职权，对理事会负责（常务理事人数不超过理事人数的1/3）。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常务理事会</w:t>
      </w:r>
      <w:r>
        <w:rPr>
          <w:rFonts w:hint="eastAsia" w:ascii="仿宋_GB2312" w:hAnsi="仿宋_GB2312" w:eastAsia="仿宋_GB2312" w:cs="仿宋_GB2312"/>
          <w:sz w:val="28"/>
          <w:szCs w:val="28"/>
        </w:rPr>
        <w:t>须有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2/3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以上的成员代表出席方能召开，其决议须到会成员半数以上表决通过方能生效。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联盟设理事长、副理事长和秘书长，由常务理事会选举产生，任期4年，可连任。会议</w:t>
      </w:r>
      <w:r>
        <w:rPr>
          <w:rFonts w:hint="eastAsia" w:ascii="仿宋_GB2312" w:hAnsi="仿宋_GB2312" w:eastAsia="仿宋_GB2312" w:cs="仿宋_GB2312"/>
          <w:sz w:val="28"/>
          <w:szCs w:val="28"/>
        </w:rPr>
        <w:t>须有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2/3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以上的成员代表出席方能召开，其决议须到会成员半数以上表决通过方能生效。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根据工作需要，经常务理事会通过，可由理事长指定一名副理事长任轮值主席，任期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1年，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承担当年常务理事会的组织召开及其他工作。</w:t>
      </w: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第十六条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理事长</w:t>
      </w:r>
      <w:bookmarkStart w:id="0" w:name="_Hlk59959067"/>
      <w:r>
        <w:rPr>
          <w:rFonts w:hint="eastAsia" w:ascii="仿宋_GB2312" w:hAnsi="仿宋_GB2312" w:eastAsia="仿宋_GB2312" w:cs="仿宋_GB2312"/>
          <w:sz w:val="28"/>
          <w:szCs w:val="28"/>
        </w:rPr>
        <w:t>的主要职责：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向成员代表大会负责，</w:t>
      </w:r>
      <w:r>
        <w:rPr>
          <w:rFonts w:ascii="仿宋_GB2312" w:hAnsi="仿宋_GB2312" w:eastAsia="仿宋_GB2312" w:cs="仿宋_GB2312"/>
          <w:sz w:val="28"/>
          <w:szCs w:val="28"/>
        </w:rPr>
        <w:t>主持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联盟</w:t>
      </w:r>
      <w:r>
        <w:rPr>
          <w:rFonts w:ascii="仿宋_GB2312" w:hAnsi="仿宋_GB2312" w:eastAsia="仿宋_GB2312" w:cs="仿宋_GB2312"/>
          <w:sz w:val="28"/>
          <w:szCs w:val="28"/>
        </w:rPr>
        <w:t xml:space="preserve">全面工作；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召集和主持</w:t>
      </w:r>
      <w:r>
        <w:rPr>
          <w:rFonts w:ascii="仿宋_GB2312" w:hAnsi="仿宋_GB2312" w:eastAsia="仿宋_GB2312" w:cs="仿宋_GB2312"/>
          <w:sz w:val="28"/>
          <w:szCs w:val="28"/>
        </w:rPr>
        <w:t>理事会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、常务理事会；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</w:t>
      </w:r>
      <w:r>
        <w:rPr>
          <w:rFonts w:ascii="仿宋_GB2312" w:hAnsi="仿宋_GB2312" w:eastAsia="仿宋_GB2312" w:cs="仿宋_GB2312"/>
          <w:sz w:val="28"/>
          <w:szCs w:val="28"/>
        </w:rPr>
        <w:t>指导和督促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成员代表大会、</w:t>
      </w:r>
      <w:r>
        <w:rPr>
          <w:rFonts w:ascii="仿宋_GB2312" w:hAnsi="仿宋_GB2312" w:eastAsia="仿宋_GB2312" w:cs="仿宋_GB2312"/>
          <w:sz w:val="28"/>
          <w:szCs w:val="28"/>
        </w:rPr>
        <w:t>理事会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、常务理事会</w:t>
      </w:r>
      <w:r>
        <w:rPr>
          <w:rFonts w:ascii="仿宋_GB2312" w:hAnsi="仿宋_GB2312" w:eastAsia="仿宋_GB2312" w:cs="仿宋_GB2312"/>
          <w:sz w:val="28"/>
          <w:szCs w:val="28"/>
        </w:rPr>
        <w:t xml:space="preserve">决议执行； 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ascii="仿宋_GB2312" w:hAnsi="仿宋_GB2312" w:eastAsia="仿宋_GB2312" w:cs="仿宋_GB2312"/>
          <w:sz w:val="28"/>
          <w:szCs w:val="28"/>
        </w:rPr>
        <w:t xml:space="preserve">签发联盟文件；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联盟</w:t>
      </w:r>
      <w:r>
        <w:rPr>
          <w:rFonts w:ascii="仿宋_GB2312" w:hAnsi="仿宋_GB2312" w:eastAsia="仿宋_GB2312" w:cs="仿宋_GB2312"/>
          <w:sz w:val="28"/>
          <w:szCs w:val="28"/>
        </w:rPr>
        <w:t>赋予的其他职能。</w:t>
      </w:r>
      <w:bookmarkEnd w:id="0"/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条 </w:t>
      </w:r>
      <w:r>
        <w:rPr>
          <w:rFonts w:hint="eastAsia" w:ascii="仿宋_GB2312" w:hAnsi="仿宋_GB2312" w:eastAsia="仿宋_GB2312" w:cs="仿宋_GB2312"/>
          <w:sz w:val="28"/>
          <w:szCs w:val="28"/>
        </w:rPr>
        <w:t>秘书处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</w:rPr>
        <w:t>联盟常设工作机构，负责联盟日常工作。设秘书长</w:t>
      </w:r>
      <w:r>
        <w:rPr>
          <w:rFonts w:ascii="仿宋_GB2312" w:hAnsi="仿宋_GB2312" w:eastAsia="仿宋_GB2312" w:cs="仿宋_GB2312"/>
          <w:sz w:val="28"/>
          <w:szCs w:val="28"/>
        </w:rPr>
        <w:t>1名，副秘书长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和联络员</w:t>
      </w:r>
      <w:r>
        <w:rPr>
          <w:rFonts w:ascii="仿宋_GB2312" w:hAnsi="仿宋_GB2312" w:eastAsia="仿宋_GB2312" w:cs="仿宋_GB2312"/>
          <w:sz w:val="28"/>
          <w:szCs w:val="28"/>
        </w:rPr>
        <w:t>若干名。</w:t>
      </w: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第十八条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秘书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长</w:t>
      </w:r>
      <w:r>
        <w:rPr>
          <w:rFonts w:hint="eastAsia" w:ascii="仿宋_GB2312" w:hAnsi="仿宋_GB2312" w:eastAsia="仿宋_GB2312" w:cs="仿宋_GB2312"/>
          <w:sz w:val="28"/>
          <w:szCs w:val="28"/>
        </w:rPr>
        <w:t>的主要职责：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主持秘书处开展日常工作，组织实施年度工作计划；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（二）组织协调各成员单位、联盟专家委员会、专题工作组等开展工作；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（三）提出理事、副秘书长人选，交由理事会或常务理事会决定；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）向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成员代表大会、</w:t>
      </w:r>
      <w:r>
        <w:rPr>
          <w:rFonts w:hint="eastAsia" w:ascii="仿宋_GB2312" w:hAnsi="仿宋_GB2312" w:eastAsia="仿宋_GB2312" w:cs="仿宋_GB2312"/>
          <w:sz w:val="28"/>
          <w:szCs w:val="28"/>
        </w:rPr>
        <w:t>理事会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、常务理事会</w:t>
      </w:r>
      <w:r>
        <w:rPr>
          <w:rFonts w:hint="eastAsia" w:ascii="仿宋_GB2312" w:hAnsi="仿宋_GB2312" w:eastAsia="仿宋_GB2312" w:cs="仿宋_GB2312"/>
          <w:sz w:val="28"/>
          <w:szCs w:val="28"/>
        </w:rPr>
        <w:t>提出议事提案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）负责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联盟</w:t>
      </w:r>
      <w:r>
        <w:rPr>
          <w:rFonts w:hint="eastAsia" w:ascii="仿宋_GB2312" w:hAnsi="仿宋_GB2312" w:eastAsia="仿宋_GB2312" w:cs="仿宋_GB2312"/>
          <w:sz w:val="28"/>
          <w:szCs w:val="28"/>
        </w:rPr>
        <w:t>交办的其他事项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jc w:val="center"/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第四章 联盟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的产生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本联盟的成员种类：单位成员</w:t>
      </w: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第二十条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申请加入本联盟的成员，应具备下列条件：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（一）遵守中华人民共和国宪法、法律、法规和规章制度，遵守职业道德；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（二）遵守联盟章程、制度，执行联盟决议；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（三）有良好的信誉，无违法、违规行为记录。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二十一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加入联盟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程序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（一）申请单位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填写</w:t>
      </w:r>
      <w:r>
        <w:rPr>
          <w:rFonts w:hint="eastAsia" w:ascii="仿宋_GB2312" w:hAnsi="仿宋_GB2312" w:eastAsia="仿宋_GB2312" w:cs="仿宋_GB2312"/>
          <w:sz w:val="28"/>
          <w:szCs w:val="28"/>
        </w:rPr>
        <w:t>入盟申请表，盖单位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公</w:t>
      </w:r>
      <w:r>
        <w:rPr>
          <w:rFonts w:hint="eastAsia" w:ascii="仿宋_GB2312" w:hAnsi="仿宋_GB2312" w:eastAsia="仿宋_GB2312" w:cs="仿宋_GB2312"/>
          <w:sz w:val="28"/>
          <w:szCs w:val="28"/>
        </w:rPr>
        <w:t>章后提交至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联盟秘书处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（二）各省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级农垦</w:t>
      </w:r>
      <w:r>
        <w:rPr>
          <w:rFonts w:hint="eastAsia" w:ascii="仿宋_GB2312" w:hAnsi="仿宋_GB2312" w:eastAsia="仿宋_GB2312" w:cs="仿宋_GB2312"/>
          <w:sz w:val="28"/>
          <w:szCs w:val="28"/>
        </w:rPr>
        <w:t>主管部门对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所辖企业、茶（农）场的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申请表进行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备案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（三）秘书处对申请单位的申请表进行审核，符合规定的递交给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联盟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理事会</w:t>
      </w:r>
      <w:r>
        <w:rPr>
          <w:rFonts w:hint="eastAsia" w:ascii="仿宋_GB2312" w:hAnsi="仿宋_GB2312" w:eastAsia="仿宋_GB2312" w:cs="仿宋_GB2312"/>
          <w:sz w:val="28"/>
          <w:szCs w:val="28"/>
        </w:rPr>
        <w:t>审议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不符合规定的予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28"/>
          <w:szCs w:val="28"/>
        </w:rPr>
        <w:t>退回；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（四）审议通过后，由联盟秘书处向联盟全体成员通告并颁发成员证书。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二十二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联盟成员享有的权利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（一）联盟的选举权、被选举权和表决权；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（二）优先享用联盟提供的各项服务；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（三）参加本联盟举办的各项活动；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（四）对联盟工作予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28"/>
          <w:szCs w:val="28"/>
        </w:rPr>
        <w:t>审议和监督；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自愿</w:t>
      </w:r>
      <w:r>
        <w:rPr>
          <w:rFonts w:hint="eastAsia" w:ascii="仿宋_GB2312" w:hAnsi="仿宋_GB2312" w:eastAsia="仿宋_GB2312" w:cs="仿宋_GB2312"/>
          <w:sz w:val="28"/>
          <w:szCs w:val="28"/>
        </w:rPr>
        <w:t>退出联盟。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二十三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联盟成员的义务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（一）承认并遵守联盟章程及各项管理规定，执行联盟决议；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（二）承担联盟委托的各项工作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维护联盟合法权益和声誉；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）积极参加联盟各项活动，承担联盟交办的各项工作；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）积极反映情况，提供有关资料；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）保守联盟及各成员之间的商业秘密。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二十四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联盟成员的退出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成员自愿退出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联盟时，</w:t>
      </w:r>
      <w:r>
        <w:rPr>
          <w:rFonts w:hint="eastAsia" w:ascii="仿宋_GB2312" w:hAnsi="仿宋_GB2312" w:eastAsia="仿宋_GB2312" w:cs="仿宋_GB2312"/>
          <w:sz w:val="28"/>
          <w:szCs w:val="28"/>
        </w:rPr>
        <w:t>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书面通知联盟秘书处，</w:t>
      </w:r>
      <w:r>
        <w:rPr>
          <w:rFonts w:ascii="仿宋_GB2312" w:hAnsi="仿宋_GB2312" w:eastAsia="仿宋_GB2312" w:cs="仿宋_GB2312"/>
          <w:sz w:val="28"/>
          <w:szCs w:val="28"/>
        </w:rPr>
        <w:t>交回联盟成员证书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，继续</w:t>
      </w:r>
      <w:r>
        <w:rPr>
          <w:rFonts w:ascii="仿宋_GB2312" w:hAnsi="仿宋_GB2312" w:eastAsia="仿宋_GB2312" w:cs="仿宋_GB2312"/>
          <w:sz w:val="28"/>
          <w:szCs w:val="28"/>
        </w:rPr>
        <w:t>保守联盟成员之间的商业秘密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28"/>
          <w:szCs w:val="28"/>
        </w:rPr>
        <w:t>由联盟秘书处负责通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28"/>
          <w:szCs w:val="28"/>
        </w:rPr>
        <w:t>联盟全体成员</w:t>
      </w:r>
      <w:r>
        <w:rPr>
          <w:rFonts w:ascii="仿宋_GB2312" w:hAnsi="仿宋_GB2312" w:eastAsia="仿宋_GB2312" w:cs="仿宋_GB2312"/>
          <w:sz w:val="28"/>
          <w:szCs w:val="28"/>
        </w:rPr>
        <w:t>。</w:t>
      </w:r>
    </w:p>
    <w:p>
      <w:p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二十五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联盟成员的除名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联盟成员有下列行为之一的，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Hans"/>
        </w:rPr>
        <w:t>联盟理事会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sz w:val="28"/>
          <w:szCs w:val="28"/>
        </w:rPr>
        <w:t>决通过后，予以除名。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（一）违反中华人民共和国宪法、法律、法规和规章制度；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（二）违反联盟章程及相关规定；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（三）因违法或违规给联盟造成严重影响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或给</w:t>
      </w:r>
      <w:r>
        <w:rPr>
          <w:rFonts w:hint="eastAsia" w:ascii="仿宋_GB2312" w:hAnsi="仿宋_GB2312" w:eastAsia="仿宋_GB2312" w:cs="仿宋_GB2312"/>
          <w:sz w:val="28"/>
          <w:szCs w:val="28"/>
        </w:rPr>
        <w:t>其他成员造成重大损失。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被</w:t>
      </w:r>
      <w:r>
        <w:rPr>
          <w:rFonts w:hint="eastAsia" w:ascii="仿宋_GB2312" w:hAnsi="仿宋_GB2312" w:eastAsia="仿宋_GB2312" w:cs="仿宋_GB2312"/>
          <w:sz w:val="28"/>
          <w:szCs w:val="28"/>
        </w:rPr>
        <w:t>除名后应交回联盟成员证书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ascii="仿宋_GB2312" w:hAnsi="仿宋_GB2312" w:eastAsia="仿宋_GB2312" w:cs="仿宋_GB2312"/>
          <w:sz w:val="28"/>
          <w:szCs w:val="28"/>
        </w:rPr>
        <w:t>继续保守联盟成员之间的商业秘密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并由联盟秘书处负责通知联盟全体成员</w:t>
      </w:r>
      <w:r>
        <w:rPr>
          <w:rFonts w:ascii="仿宋_GB2312" w:hAnsi="仿宋_GB2312" w:eastAsia="仿宋_GB2312" w:cs="仿宋_GB2312"/>
          <w:sz w:val="28"/>
          <w:szCs w:val="28"/>
        </w:rPr>
        <w:t>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第五章 联盟的终止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本联盟完成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目标</w:t>
      </w:r>
      <w:r>
        <w:rPr>
          <w:rFonts w:hint="eastAsia" w:ascii="仿宋_GB2312" w:hAnsi="仿宋_GB2312" w:eastAsia="仿宋_GB2312" w:cs="仿宋_GB2312"/>
          <w:sz w:val="28"/>
          <w:szCs w:val="28"/>
        </w:rPr>
        <w:t>或自行解散或其它原因需要注销的，由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Hans"/>
        </w:rPr>
        <w:t>联盟</w:t>
      </w:r>
      <w:r>
        <w:rPr>
          <w:rFonts w:hint="eastAsia" w:ascii="仿宋_GB2312" w:hAnsi="仿宋_GB2312" w:eastAsia="仿宋_GB2312" w:cs="仿宋_GB2312"/>
          <w:sz w:val="28"/>
          <w:szCs w:val="28"/>
        </w:rPr>
        <w:t>理事会提出终止议案。</w:t>
      </w: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本联盟终止议案需经理事长审查同意并经联盟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成员代表大会或理事</w:t>
      </w:r>
      <w:r>
        <w:rPr>
          <w:rFonts w:hint="eastAsia" w:ascii="仿宋_GB2312" w:hAnsi="仿宋_GB2312" w:eastAsia="仿宋_GB2312" w:cs="仿宋_GB2312"/>
          <w:sz w:val="28"/>
          <w:szCs w:val="28"/>
        </w:rPr>
        <w:t>会表决通过。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第六章 附则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本章程经联盟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成员代表大</w:t>
      </w:r>
      <w:r>
        <w:rPr>
          <w:rFonts w:hint="eastAsia" w:ascii="仿宋_GB2312" w:hAnsi="仿宋_GB2312" w:eastAsia="仿宋_GB2312" w:cs="仿宋_GB2312"/>
          <w:sz w:val="28"/>
          <w:szCs w:val="28"/>
        </w:rPr>
        <w:t>会审议通过后生效。</w:t>
      </w: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本章程解释权属联盟理事会。</w:t>
      </w:r>
    </w:p>
    <w:p>
      <w:pPr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三十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本章程未尽事宜，另行补充。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F0259"/>
    <w:multiLevelType w:val="multilevel"/>
    <w:tmpl w:val="43DF0259"/>
    <w:lvl w:ilvl="0" w:tentative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93872"/>
    <w:rsid w:val="01587BF6"/>
    <w:rsid w:val="128F5A9C"/>
    <w:rsid w:val="2DCA74D9"/>
    <w:rsid w:val="510659FD"/>
    <w:rsid w:val="6C661F24"/>
    <w:rsid w:val="7039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+西文正文" w:hAnsi="+西文正文" w:eastAsia="华文中宋"/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34" w:firstLineChars="181"/>
    </w:pPr>
    <w:rPr>
      <w:sz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2021-02-19T06:35:00Z</dcterms:created>
  <dc:creator>杨雅娜</dc:creator>
  <cp:lastModifiedBy>杨雅娜</cp:lastModifiedBy>
  <dcterms:modified xsi:type="dcterms:W3CDTF">2021-02-19T06:35:34Z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