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中国农民丰收节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农垦晒丰收暨“智慧农垦万里行”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宁夏垦区站活动方案</w:t>
      </w:r>
    </w:p>
    <w:p>
      <w:pPr>
        <w:spacing w:line="520" w:lineRule="exact"/>
        <w:jc w:val="center"/>
        <w:rPr>
          <w:rFonts w:hint="eastAsia" w:ascii="仿宋_GB2312" w:eastAsia="仿宋_GB2312" w:cs="AdobeHeitiStd-Regular"/>
          <w:sz w:val="28"/>
          <w:szCs w:val="28"/>
        </w:rPr>
      </w:pPr>
      <w:r>
        <w:rPr>
          <w:rFonts w:hint="eastAsia" w:ascii="仿宋_GB2312" w:eastAsia="仿宋_GB2312" w:cs="AdobeHeitiStd-Regular"/>
          <w:sz w:val="28"/>
          <w:szCs w:val="28"/>
        </w:rPr>
        <w:t>（</w:t>
      </w:r>
      <w:r>
        <w:rPr>
          <w:rFonts w:hint="eastAsia" w:ascii="仿宋_GB2312" w:eastAsia="仿宋_GB2312" w:cs="AdobeHeitiStd-Regular"/>
          <w:sz w:val="28"/>
          <w:szCs w:val="28"/>
          <w:lang w:val="en-US" w:eastAsia="zh-CN"/>
        </w:rPr>
        <w:t>2019年9月9日</w:t>
      </w:r>
      <w:r>
        <w:rPr>
          <w:rFonts w:hint="eastAsia" w:ascii="仿宋_GB2312" w:eastAsia="仿宋_GB2312" w:cs="AdobeHeitiStd-Regular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520" w:lineRule="exact"/>
        <w:jc w:val="both"/>
        <w:rPr>
          <w:rFonts w:ascii="仿宋_GB2312" w:eastAsia="仿宋_GB2312" w:cs="AdobeHeitiStd-Regular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为贯彻落实农业农村部办公厅《关于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2019年中国农民丰收节有关事项的通知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》（农办市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13号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）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精神，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认真组织实施好2019年中国农民丰收节农垦晒丰收暨“智慧农垦万里行”宁夏垦区站活动，制定本方案。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AdobeHeitiStd-Regular"/>
          <w:b/>
          <w:sz w:val="32"/>
          <w:szCs w:val="32"/>
        </w:rPr>
      </w:pPr>
      <w:r>
        <w:rPr>
          <w:rFonts w:hint="eastAsia" w:ascii="黑体" w:hAnsi="黑体" w:eastAsia="黑体" w:cs="AdobeHeitiStd-Regular"/>
          <w:b/>
          <w:sz w:val="32"/>
          <w:szCs w:val="32"/>
        </w:rPr>
        <w:t>一、</w:t>
      </w:r>
      <w:r>
        <w:rPr>
          <w:rFonts w:ascii="黑体" w:hAnsi="黑体" w:eastAsia="黑体" w:cs="AdobeHeitiStd-Regular"/>
          <w:b/>
          <w:sz w:val="32"/>
          <w:szCs w:val="32"/>
        </w:rPr>
        <w:t>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以习近平新时代中国特色社会主义思想为指导，深入学习贯彻习近平总书记关于“三农”工作的重要论述，秉承“庆祝丰收、弘扬文化、振兴乡村”宗旨，</w:t>
      </w:r>
      <w:r>
        <w:rPr>
          <w:rFonts w:eastAsia="仿宋_GB2312"/>
          <w:b w:val="0"/>
          <w:bCs/>
          <w:sz w:val="32"/>
          <w:szCs w:val="32"/>
        </w:rPr>
        <w:t>坚持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“</w:t>
      </w:r>
      <w:r>
        <w:rPr>
          <w:rFonts w:eastAsia="仿宋_GB2312"/>
          <w:b w:val="0"/>
          <w:bCs/>
          <w:sz w:val="32"/>
          <w:szCs w:val="32"/>
        </w:rPr>
        <w:t>农民主体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、</w:t>
      </w:r>
      <w:r>
        <w:rPr>
          <w:rFonts w:eastAsia="仿宋_GB2312"/>
          <w:b w:val="0"/>
          <w:bCs/>
          <w:sz w:val="32"/>
          <w:szCs w:val="32"/>
        </w:rPr>
        <w:t>因地制宜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、</w:t>
      </w:r>
      <w:r>
        <w:rPr>
          <w:rFonts w:eastAsia="仿宋_GB2312"/>
          <w:b w:val="0"/>
          <w:bCs/>
          <w:sz w:val="32"/>
          <w:szCs w:val="32"/>
        </w:rPr>
        <w:t>开放创新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、</w:t>
      </w:r>
      <w:r>
        <w:rPr>
          <w:rFonts w:eastAsia="仿宋_GB2312"/>
          <w:b w:val="0"/>
          <w:bCs/>
          <w:sz w:val="32"/>
          <w:szCs w:val="32"/>
        </w:rPr>
        <w:t>节俭热烈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eastAsia="仿宋_GB2312"/>
          <w:b w:val="0"/>
          <w:bCs/>
          <w:sz w:val="32"/>
          <w:szCs w:val="32"/>
        </w:rPr>
        <w:t>基层为主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”原则，结合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中国农垦经济发展中心</w:t>
      </w:r>
      <w:r>
        <w:rPr>
          <w:rFonts w:hint="eastAsia" w:ascii="仿宋_GB2312" w:eastAsia="仿宋_GB2312" w:cs="AdobeHeitiStd-Regular"/>
          <w:sz w:val="32"/>
          <w:szCs w:val="32"/>
        </w:rPr>
        <w:t>“智慧农垦万里行 培育垦区新动能”活动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，宁夏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垦区相关单位积极支持，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组织</w:t>
      </w:r>
      <w:r>
        <w:rPr>
          <w:rFonts w:hint="eastAsia" w:ascii="仿宋_GB2312" w:eastAsia="仿宋_GB2312" w:cs="AdobeHeitiStd-Regular"/>
          <w:sz w:val="32"/>
          <w:szCs w:val="32"/>
        </w:rPr>
        <w:t>开展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群众</w:t>
      </w:r>
      <w:r>
        <w:rPr>
          <w:rFonts w:hint="eastAsia" w:ascii="仿宋_GB2312" w:eastAsia="仿宋_GB2312" w:cs="AdobeHeitiStd-Regular"/>
          <w:sz w:val="32"/>
          <w:szCs w:val="32"/>
        </w:rPr>
        <w:t>喜闻乐见的庆丰收活动，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充分</w:t>
      </w:r>
      <w:r>
        <w:rPr>
          <w:rFonts w:hint="eastAsia" w:ascii="仿宋_GB2312" w:eastAsia="仿宋_GB2312" w:cs="AdobeHeitiStd-Regular"/>
          <w:sz w:val="32"/>
          <w:szCs w:val="32"/>
        </w:rPr>
        <w:t>展示农垦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形象</w:t>
      </w:r>
      <w:r>
        <w:rPr>
          <w:rFonts w:hint="eastAsia" w:ascii="仿宋_GB2312" w:eastAsia="仿宋_GB2312" w:cs="AdobeHeitiStd-Regular"/>
          <w:sz w:val="32"/>
          <w:szCs w:val="32"/>
        </w:rPr>
        <w:t>、传播农垦文化、宣传农垦品牌、拓宽农垦产品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销路</w:t>
      </w:r>
      <w:r>
        <w:rPr>
          <w:rFonts w:hint="eastAsia" w:ascii="仿宋_GB2312" w:eastAsia="仿宋_GB2312" w:cs="AdobeHeitiStd-Regular"/>
          <w:sz w:val="32"/>
          <w:szCs w:val="32"/>
        </w:rPr>
        <w:t>，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喜迎中华人民共和国成立</w:t>
      </w:r>
      <w:r>
        <w:rPr>
          <w:rFonts w:hint="eastAsia" w:ascii="仿宋_GB2312" w:eastAsia="仿宋_GB2312" w:cs="AdobeHeitiStd-Regular"/>
          <w:sz w:val="32"/>
          <w:szCs w:val="32"/>
        </w:rPr>
        <w:t>70周年。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AdobeHeitiStd-Regular"/>
          <w:b/>
          <w:sz w:val="32"/>
          <w:szCs w:val="32"/>
        </w:rPr>
      </w:pPr>
      <w:r>
        <w:rPr>
          <w:rFonts w:hint="eastAsia" w:ascii="黑体" w:hAnsi="黑体" w:eastAsia="黑体" w:cs="AdobeHeitiStd-Regular"/>
          <w:b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庆丰收、迎国庆、展形象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AdobeHeitiStd-Regular"/>
          <w:b/>
          <w:sz w:val="32"/>
          <w:szCs w:val="32"/>
        </w:rPr>
      </w:pPr>
      <w:r>
        <w:rPr>
          <w:rFonts w:hint="eastAsia" w:ascii="黑体" w:hAnsi="黑体" w:eastAsia="黑体" w:cs="AdobeHeitiStd-Regular"/>
          <w:b/>
          <w:sz w:val="32"/>
          <w:szCs w:val="32"/>
        </w:rPr>
        <w:t>三、时间和地点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2019年9月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日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 xml:space="preserve"> （星期一）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宁夏农垦西夏王葡萄酒业公司广场（丰收节现场活动）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西夏王玉泉国际酒庄（推介会和商务洽谈）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AdobeHeitiStd-Regular"/>
          <w:b/>
          <w:sz w:val="32"/>
          <w:szCs w:val="32"/>
        </w:rPr>
      </w:pPr>
      <w:r>
        <w:rPr>
          <w:rFonts w:hint="eastAsia" w:ascii="黑体" w:hAnsi="黑体" w:eastAsia="黑体" w:cs="AdobeHeitiStd-Regular"/>
          <w:b/>
          <w:sz w:val="32"/>
          <w:szCs w:val="32"/>
        </w:rPr>
        <w:t>四、活动组织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（一）主办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中国农垦经济发展中心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宁夏农垦西夏王葡萄酒业有限公司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中垦国际电子商务股份有限公司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办单位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北京京东世纪贸易有限公司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央广幸福购物（北京）有限公司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北京字节跳动科技有限公司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品牌农业与市场杂志社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）参加单位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全国部分</w:t>
      </w:r>
      <w:r>
        <w:rPr>
          <w:rFonts w:hint="eastAsia" w:ascii="仿宋_GB2312" w:eastAsia="仿宋_GB2312" w:cs="AdobeHeitiStd-Regular"/>
          <w:sz w:val="32"/>
          <w:szCs w:val="32"/>
        </w:rPr>
        <w:t>垦区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及</w:t>
      </w:r>
      <w:r>
        <w:rPr>
          <w:rFonts w:hint="eastAsia" w:ascii="仿宋_GB2312" w:eastAsia="仿宋_GB2312" w:cs="AdobeHeitiStd-Regular"/>
          <w:sz w:val="32"/>
          <w:szCs w:val="32"/>
        </w:rPr>
        <w:t>相关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宁夏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垦区所属</w:t>
      </w:r>
      <w:r>
        <w:rPr>
          <w:rFonts w:hint="eastAsia" w:ascii="仿宋_GB2312" w:eastAsia="仿宋_GB2312" w:cs="AdobeHeitiStd-Regular"/>
          <w:sz w:val="32"/>
          <w:szCs w:val="32"/>
        </w:rPr>
        <w:t>相关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AdobeHeitiStd-Regular"/>
          <w:b/>
          <w:sz w:val="32"/>
          <w:szCs w:val="32"/>
        </w:rPr>
      </w:pPr>
      <w:r>
        <w:rPr>
          <w:rFonts w:hint="eastAsia" w:ascii="黑体" w:hAnsi="黑体" w:eastAsia="黑体" w:cs="AdobeHeitiStd-Regular"/>
          <w:b/>
          <w:sz w:val="32"/>
          <w:szCs w:val="32"/>
        </w:rPr>
        <w:t>五、</w:t>
      </w:r>
      <w:r>
        <w:rPr>
          <w:rFonts w:hint="eastAsia" w:ascii="黑体" w:hAnsi="黑体" w:eastAsia="黑体" w:cs="AdobeHeitiStd-Regular"/>
          <w:b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AdobeHeitiStd-Regular"/>
          <w:b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（一）启动仪式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/>
        </w:rPr>
      </w:pPr>
      <w:r>
        <w:rPr>
          <w:rFonts w:hint="eastAsia" w:ascii="仿宋_GB2312" w:eastAsia="仿宋_GB2312" w:cs="AdobeHeitiStd-Regular"/>
          <w:sz w:val="32"/>
          <w:szCs w:val="32"/>
        </w:rPr>
        <w:t>1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开场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鼓乐《庆丰收》。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2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领导致辞：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中国农垦经济发展中心领导；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自治区农业农村厅领导；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AdobeHeitiStd-Regular"/>
          <w:sz w:val="32"/>
          <w:szCs w:val="32"/>
        </w:rPr>
        <w:t>宁夏农垦集团有限公司领导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宁夏垦区职工自演</w:t>
      </w:r>
      <w:r>
        <w:rPr>
          <w:rFonts w:hint="eastAsia" w:ascii="仿宋_GB2312" w:eastAsia="仿宋_GB2312" w:cs="AdobeHeitiStd-Regular"/>
          <w:sz w:val="32"/>
          <w:szCs w:val="32"/>
        </w:rPr>
        <w:t>节目（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AdobeHeitiStd-Regular"/>
          <w:sz w:val="32"/>
          <w:szCs w:val="32"/>
        </w:rPr>
        <w:t>个）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（二）中国农垦产品展览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楷体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hAnsi="楷体" w:eastAsia="仿宋_GB2312" w:cs="AdobeHeitiStd-Regular"/>
          <w:sz w:val="32"/>
          <w:szCs w:val="32"/>
        </w:rPr>
        <w:t>1</w:t>
      </w:r>
      <w:r>
        <w:rPr>
          <w:rFonts w:hint="eastAsia" w:ascii="仿宋_GB2312" w:hAnsi="楷体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hAnsi="楷体" w:eastAsia="仿宋_GB2312" w:cs="AdobeHeitiStd-Regular"/>
          <w:sz w:val="32"/>
          <w:szCs w:val="32"/>
        </w:rPr>
        <w:t>宁夏</w:t>
      </w:r>
      <w:r>
        <w:rPr>
          <w:rFonts w:hint="eastAsia" w:ascii="仿宋_GB2312" w:hAnsi="楷体" w:eastAsia="仿宋_GB2312" w:cs="AdobeHeitiStd-Regular"/>
          <w:sz w:val="32"/>
          <w:szCs w:val="32"/>
          <w:lang w:eastAsia="zh-CN"/>
        </w:rPr>
        <w:t>垦区</w:t>
      </w:r>
      <w:r>
        <w:rPr>
          <w:rFonts w:hint="eastAsia" w:ascii="仿宋_GB2312" w:hAnsi="楷体" w:eastAsia="仿宋_GB2312" w:cs="AdobeHeitiStd-Regular"/>
          <w:sz w:val="32"/>
          <w:szCs w:val="32"/>
        </w:rPr>
        <w:t>产品（西夏王葡萄酒、连湖大米、沙湖大米、南梁枸杞、贺兰山牛羊肉、宁乐堡乳品、沙湖水产、沙湖宾馆自制食品、</w:t>
      </w:r>
      <w:r>
        <w:rPr>
          <w:rFonts w:hint="eastAsia" w:ascii="仿宋_GB2312" w:hAnsi="楷体" w:eastAsia="仿宋_GB2312" w:cs="AdobeHeitiStd-Regular"/>
          <w:sz w:val="32"/>
          <w:szCs w:val="32"/>
          <w:lang w:eastAsia="zh-CN"/>
        </w:rPr>
        <w:t>垦区各农场</w:t>
      </w:r>
      <w:r>
        <w:rPr>
          <w:rFonts w:hint="eastAsia" w:ascii="仿宋_GB2312" w:hAnsi="楷体" w:eastAsia="仿宋_GB2312" w:cs="AdobeHeitiStd-Regular"/>
          <w:sz w:val="32"/>
          <w:szCs w:val="32"/>
        </w:rPr>
        <w:t>瓜果蔬菜）</w:t>
      </w:r>
      <w:r>
        <w:rPr>
          <w:rFonts w:hint="eastAsia" w:ascii="仿宋_GB2312" w:hAnsi="楷体" w:eastAsia="仿宋_GB2312" w:cs="AdobeHeitiStd-Regular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楷体" w:eastAsia="仿宋_GB2312" w:cs="AdobeHeitiStd-Regular"/>
          <w:sz w:val="32"/>
          <w:szCs w:val="32"/>
        </w:rPr>
      </w:pPr>
      <w:r>
        <w:rPr>
          <w:rFonts w:hint="eastAsia" w:ascii="仿宋_GB2312" w:hAnsi="楷体" w:eastAsia="仿宋_GB2312" w:cs="AdobeHeitiStd-Regular"/>
          <w:sz w:val="32"/>
          <w:szCs w:val="32"/>
        </w:rPr>
        <w:t>2</w:t>
      </w:r>
      <w:r>
        <w:rPr>
          <w:rFonts w:hint="eastAsia" w:ascii="仿宋_GB2312" w:hAnsi="楷体" w:eastAsia="仿宋_GB2312" w:cs="AdobeHeitiStd-Regular"/>
          <w:sz w:val="32"/>
          <w:szCs w:val="32"/>
          <w:lang w:eastAsia="zh-CN"/>
        </w:rPr>
        <w:t>.全国</w:t>
      </w:r>
      <w:r>
        <w:rPr>
          <w:rFonts w:hint="eastAsia" w:ascii="仿宋_GB2312" w:hAnsi="楷体" w:eastAsia="仿宋_GB2312" w:cs="AdobeHeitiStd-Regular"/>
          <w:sz w:val="32"/>
          <w:szCs w:val="32"/>
        </w:rPr>
        <w:t>其他垦区产品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hAnsi="楷体" w:eastAsia="仿宋_GB2312" w:cs="AdobeHeitiStd-Regular"/>
          <w:sz w:val="32"/>
          <w:szCs w:val="32"/>
          <w:lang w:val="en-US" w:eastAsia="zh-CN"/>
        </w:rPr>
        <w:t>（1）由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宁夏农垦西夏王葡萄酒业有限公司负责现场布展（布展规模依据参展单位确定）；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楷体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AdobeHeitiStd-Regular"/>
          <w:sz w:val="32"/>
          <w:szCs w:val="32"/>
          <w:lang w:val="en-US" w:eastAsia="zh-CN"/>
        </w:rPr>
        <w:t>（2）展品可采取自带或者邮寄方式；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楷体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AdobeHeitiStd-Regular"/>
          <w:sz w:val="32"/>
          <w:szCs w:val="32"/>
          <w:lang w:val="en-US" w:eastAsia="zh-CN"/>
        </w:rPr>
        <w:t>（3）参展单位需提前邮寄展品，邮寄地址为：宁夏回族自治区银川市金凤区福州南街198号宁夏农垦大厦，联系人：李磊 13895668144；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楷体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AdobeHeitiStd-Regular"/>
          <w:sz w:val="32"/>
          <w:szCs w:val="32"/>
          <w:lang w:val="en-US" w:eastAsia="zh-CN"/>
        </w:rPr>
        <w:t>（4）布展时间为2019年9月22日下午，有参展单位的布展人员统一由住地乘车前往会场布展。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（三）宁夏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垦区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葡萄产业参观体验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</w:rPr>
        <w:t>参观体验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宁夏农垦玉泉营农场</w:t>
      </w:r>
      <w:r>
        <w:rPr>
          <w:rFonts w:hint="eastAsia" w:ascii="仿宋_GB2312" w:eastAsia="仿宋_GB2312" w:cs="AdobeHeitiStd-Regular"/>
          <w:sz w:val="32"/>
          <w:szCs w:val="32"/>
        </w:rPr>
        <w:t>葡萄苗木繁育中心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</w:t>
      </w:r>
      <w:r>
        <w:rPr>
          <w:rFonts w:hint="eastAsia" w:ascii="仿宋_GB2312" w:eastAsia="仿宋_GB2312" w:cs="AdobeHeitiStd-Regular"/>
          <w:sz w:val="32"/>
          <w:szCs w:val="32"/>
        </w:rPr>
        <w:t>优质葡萄示范园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</w:t>
      </w:r>
      <w:r>
        <w:rPr>
          <w:rFonts w:hint="eastAsia" w:ascii="仿宋_GB2312" w:eastAsia="仿宋_GB2312" w:cs="AdobeHeitiStd-Regular"/>
          <w:sz w:val="32"/>
          <w:szCs w:val="32"/>
        </w:rPr>
        <w:t>西夏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王葡萄酒业有限公司；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宁夏农垦西夏王玉泉</w:t>
      </w:r>
      <w:r>
        <w:rPr>
          <w:rFonts w:hint="eastAsia" w:ascii="仿宋_GB2312" w:eastAsia="仿宋_GB2312" w:cs="AdobeHeitiStd-Regular"/>
          <w:sz w:val="32"/>
          <w:szCs w:val="32"/>
        </w:rPr>
        <w:t>国际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葡萄</w:t>
      </w:r>
      <w:r>
        <w:rPr>
          <w:rFonts w:hint="eastAsia" w:ascii="仿宋_GB2312" w:eastAsia="仿宋_GB2312" w:cs="AdobeHeitiStd-Regular"/>
          <w:sz w:val="32"/>
          <w:szCs w:val="32"/>
        </w:rPr>
        <w:t>酒庄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（四）中国农垦产品产销对接会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组织各参展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垦区</w:t>
      </w:r>
      <w:r>
        <w:rPr>
          <w:rFonts w:hint="eastAsia" w:ascii="仿宋_GB2312" w:eastAsia="仿宋_GB2312" w:cs="AdobeHeitiStd-Regular"/>
          <w:sz w:val="32"/>
          <w:szCs w:val="32"/>
        </w:rPr>
        <w:t>与京东、央广购物、今日头条等平台进行产销对接。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1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bCs/>
          <w:sz w:val="32"/>
          <w:szCs w:val="32"/>
        </w:rPr>
        <w:t>举办推介会。</w:t>
      </w:r>
      <w:r>
        <w:rPr>
          <w:rFonts w:hint="eastAsia" w:ascii="仿宋_GB2312" w:eastAsia="仿宋_GB2312" w:cs="AdobeHeitiStd-Regular"/>
          <w:sz w:val="32"/>
          <w:szCs w:val="32"/>
        </w:rPr>
        <w:t>由垦区代表向现场媒体、平台代表、自媒体大</w:t>
      </w:r>
      <w:r>
        <w:rPr>
          <w:rFonts w:ascii="仿宋_GB2312" w:eastAsia="仿宋_GB2312" w:cs="AdobeHeitiStd-Regular"/>
          <w:sz w:val="32"/>
          <w:szCs w:val="32"/>
        </w:rPr>
        <w:t>V</w:t>
      </w:r>
      <w:r>
        <w:rPr>
          <w:rFonts w:hint="eastAsia" w:ascii="仿宋_GB2312" w:eastAsia="仿宋_GB2312" w:cs="AdobeHeitiStd-Regular"/>
          <w:sz w:val="32"/>
          <w:szCs w:val="32"/>
        </w:rPr>
        <w:t>等展示推介产品，相关内容在电商平台以及中国农垦官方旗舰店展示销售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bCs/>
          <w:sz w:val="32"/>
          <w:szCs w:val="32"/>
        </w:rPr>
        <w:t>2</w:t>
      </w:r>
      <w:r>
        <w:rPr>
          <w:rFonts w:hint="eastAsia" w:ascii="仿宋_GB2312" w:eastAsia="仿宋_GB2312" w:cs="AdobeHeitiStd-Regular"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举办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商务洽谈</w:t>
      </w:r>
      <w:r>
        <w:rPr>
          <w:rFonts w:hint="eastAsia" w:ascii="仿宋_GB2312" w:eastAsia="仿宋_GB2312" w:cs="AdobeHeitiStd-Regular"/>
          <w:sz w:val="32"/>
          <w:szCs w:val="32"/>
        </w:rPr>
        <w:t>会。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为有合作意向的各垦区、平台、媒体提供商务洽谈支持</w:t>
      </w:r>
      <w:r>
        <w:rPr>
          <w:rFonts w:hint="eastAsia" w:ascii="仿宋_GB2312" w:eastAsia="仿宋_GB2312" w:cs="AdobeHeitiStd-Regular"/>
          <w:sz w:val="32"/>
          <w:szCs w:val="32"/>
        </w:rPr>
        <w:t>，探索合作路径、实现多方共赢。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（五）中国农垦产品推广传播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1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依托央广购物在电视、广播等媒体领域的传播优势，对现场活动、农场的规模化种植、标准化生产以及农垦职工讲述故事等进行录制，并在相关平台播放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</w:rPr>
        <w:t>2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依托今日头条平台强大的内容营销和传播优势，组织自媒体人</w:t>
      </w:r>
      <w:r>
        <w:rPr>
          <w:rFonts w:ascii="仿宋_GB2312" w:eastAsia="仿宋_GB2312" w:cs="AdobeHeitiStd-Regular"/>
          <w:sz w:val="32"/>
          <w:szCs w:val="32"/>
        </w:rPr>
        <w:t>现场直播</w:t>
      </w:r>
      <w:r>
        <w:rPr>
          <w:rFonts w:hint="eastAsia" w:ascii="仿宋_GB2312" w:eastAsia="仿宋_GB2312" w:cs="AdobeHeitiStd-Regular"/>
          <w:sz w:val="32"/>
          <w:szCs w:val="32"/>
        </w:rPr>
        <w:t>；依托中垦国际电商学院整合优势，组织学员主播们参加现场直播和线上直播，直观、生动地展示农垦品质和文化内涵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3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依托各平台的中国农垦官方旗舰店开展线上专题活动，增强中国农垦公共品牌和宁夏农垦品牌的线上影响力。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AdobeHeitiStd-Regular"/>
          <w:b/>
          <w:sz w:val="32"/>
          <w:szCs w:val="32"/>
        </w:rPr>
      </w:pPr>
      <w:r>
        <w:rPr>
          <w:rFonts w:hint="eastAsia" w:ascii="黑体" w:hAnsi="黑体" w:eastAsia="黑体" w:cs="AdobeHeitiStd-Regular"/>
          <w:b/>
          <w:sz w:val="32"/>
          <w:szCs w:val="32"/>
        </w:rPr>
        <w:t>六、活动</w:t>
      </w:r>
      <w:r>
        <w:rPr>
          <w:rFonts w:hint="eastAsia" w:ascii="黑体" w:hAnsi="黑体" w:eastAsia="黑体" w:cs="AdobeHeitiStd-Regular"/>
          <w:b/>
          <w:sz w:val="32"/>
          <w:szCs w:val="32"/>
          <w:lang w:eastAsia="zh-CN"/>
        </w:rPr>
        <w:t>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</w:rPr>
        <w:t>1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巡展（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 w:cs="AdobeHeitiStd-Regular"/>
          <w:sz w:val="32"/>
          <w:szCs w:val="32"/>
        </w:rPr>
        <w:t>-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AdobeHeitiStd-Regular"/>
          <w:sz w:val="32"/>
          <w:szCs w:val="32"/>
        </w:rPr>
        <w:t>0）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</w:rPr>
        <w:t>2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启动仪式（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9月23日上午10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AdobeHeitiStd-Regular"/>
          <w:sz w:val="32"/>
          <w:szCs w:val="32"/>
        </w:rPr>
        <w:t>0-1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 w:cs="AdobeHeitiStd-Regular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AdobeHeitiStd-Regular"/>
          <w:sz w:val="32"/>
          <w:szCs w:val="32"/>
        </w:rPr>
        <w:t>0-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HeitiStd-Regular"/>
          <w:sz w:val="32"/>
          <w:szCs w:val="32"/>
        </w:rPr>
        <w:t>0 开场节目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HeitiStd-Regular"/>
          <w:sz w:val="32"/>
          <w:szCs w:val="32"/>
        </w:rPr>
        <w:t>0-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AdobeHeitiStd-Regular"/>
          <w:sz w:val="32"/>
          <w:szCs w:val="32"/>
        </w:rPr>
        <w:t xml:space="preserve"> 领导致辞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AdobeHeitiStd-Regular"/>
          <w:sz w:val="32"/>
          <w:szCs w:val="32"/>
        </w:rPr>
        <w:t>-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10:35</w:t>
      </w:r>
      <w:r>
        <w:rPr>
          <w:rFonts w:hint="eastAsia" w:ascii="仿宋_GB2312" w:eastAsia="仿宋_GB2312" w:cs="AdobeHeitiStd-Regular"/>
          <w:sz w:val="32"/>
          <w:szCs w:val="32"/>
        </w:rPr>
        <w:t xml:space="preserve">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宣布活动启动；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 w:cs="AdobeHeitiStd-Regular"/>
          <w:sz w:val="32"/>
          <w:szCs w:val="32"/>
        </w:rPr>
        <w:t>-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11:35</w:t>
      </w:r>
      <w:r>
        <w:rPr>
          <w:rFonts w:hint="eastAsia" w:ascii="仿宋_GB2312" w:eastAsia="仿宋_GB2312" w:cs="AdobeHeitiStd-Regular"/>
          <w:sz w:val="32"/>
          <w:szCs w:val="32"/>
        </w:rPr>
        <w:t>节目表演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</w:rPr>
        <w:t>3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参观体验（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11:00</w:t>
      </w:r>
      <w:r>
        <w:rPr>
          <w:rFonts w:hint="eastAsia" w:ascii="仿宋_GB2312" w:eastAsia="仿宋_GB2312" w:cs="AdobeHeitiStd-Regular"/>
          <w:sz w:val="32"/>
          <w:szCs w:val="32"/>
        </w:rPr>
        <w:t>-1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AdobeHeitiStd-Regular"/>
          <w:sz w:val="32"/>
          <w:szCs w:val="32"/>
        </w:rPr>
        <w:t>0）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（统一乘车前往）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</w:t>
      </w:r>
      <w:r>
        <w:rPr>
          <w:rFonts w:hint="eastAsia" w:ascii="仿宋_GB2312" w:eastAsia="仿宋_GB2312" w:cs="AdobeHeitiStd-Regular"/>
          <w:sz w:val="32"/>
          <w:szCs w:val="32"/>
        </w:rPr>
        <w:t>西夏王葡萄酒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业有限公司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宁夏农垦玉泉营</w:t>
      </w:r>
      <w:r>
        <w:rPr>
          <w:rFonts w:hint="eastAsia" w:ascii="仿宋_GB2312" w:eastAsia="仿宋_GB2312" w:cs="AdobeHeitiStd-Regular"/>
          <w:sz w:val="32"/>
          <w:szCs w:val="32"/>
        </w:rPr>
        <w:t>苗木繁育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有限公司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宁夏农垦西夏王</w:t>
      </w:r>
      <w:r>
        <w:rPr>
          <w:rFonts w:hint="eastAsia" w:ascii="仿宋_GB2312" w:eastAsia="仿宋_GB2312" w:cs="AdobeHeitiStd-Regular"/>
          <w:sz w:val="32"/>
          <w:szCs w:val="32"/>
        </w:rPr>
        <w:t>优质葡萄示范园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宁夏农垦西夏王玉泉</w:t>
      </w:r>
      <w:r>
        <w:rPr>
          <w:rFonts w:hint="eastAsia" w:ascii="仿宋_GB2312" w:eastAsia="仿宋_GB2312" w:cs="AdobeHeitiStd-Regular"/>
          <w:sz w:val="32"/>
          <w:szCs w:val="32"/>
        </w:rPr>
        <w:t>国际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葡萄</w:t>
      </w:r>
      <w:r>
        <w:rPr>
          <w:rFonts w:hint="eastAsia" w:ascii="仿宋_GB2312" w:eastAsia="仿宋_GB2312" w:cs="AdobeHeitiStd-Regular"/>
          <w:sz w:val="32"/>
          <w:szCs w:val="32"/>
        </w:rPr>
        <w:t>酒庄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4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午餐（1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HeitiStd-Regular"/>
          <w:sz w:val="32"/>
          <w:szCs w:val="32"/>
        </w:rPr>
        <w:t>:30-13: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HeitiStd-Regular"/>
          <w:sz w:val="32"/>
          <w:szCs w:val="32"/>
        </w:rPr>
        <w:t>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</w:rPr>
        <w:t>地点：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</w:t>
      </w:r>
      <w:r>
        <w:rPr>
          <w:rFonts w:hint="eastAsia" w:ascii="仿宋_GB2312" w:eastAsia="仿宋_GB2312" w:cs="AdobeHeitiStd-Regular"/>
          <w:sz w:val="32"/>
          <w:szCs w:val="32"/>
        </w:rPr>
        <w:t>西夏王玉泉国际酒庄工作餐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（自助餐）。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5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</w:rPr>
        <w:t>产销对接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会</w:t>
      </w:r>
      <w:r>
        <w:rPr>
          <w:rFonts w:hint="eastAsia" w:ascii="仿宋_GB2312" w:eastAsia="仿宋_GB2312" w:cs="AdobeHeitiStd-Regular"/>
          <w:sz w:val="32"/>
          <w:szCs w:val="32"/>
        </w:rPr>
        <w:t>（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9月23日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下午</w:t>
      </w:r>
      <w:r>
        <w:rPr>
          <w:rFonts w:hint="eastAsia" w:ascii="仿宋_GB2312" w:eastAsia="仿宋_GB2312" w:cs="AdobeHeitiStd-Regular"/>
          <w:sz w:val="32"/>
          <w:szCs w:val="32"/>
        </w:rPr>
        <w:t>13:30-16:00）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 xml:space="preserve">13:30-14:30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（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）</w:t>
      </w:r>
      <w:r>
        <w:rPr>
          <w:rFonts w:hint="eastAsia" w:ascii="仿宋_GB2312" w:eastAsia="仿宋_GB2312" w:cs="AdobeHeitiStd-Regular"/>
          <w:sz w:val="32"/>
          <w:szCs w:val="32"/>
        </w:rPr>
        <w:t>推介会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（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）中垦国际电子商务股份有限公司董事长和平台代表（京东或央广购物）介绍如何助力农产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品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上行；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（责任部门：宁夏农垦集团市场部、宁夏农垦西夏王葡萄酒贸易公司）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1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AdobeHeitiStd-Regular"/>
          <w:sz w:val="32"/>
          <w:szCs w:val="32"/>
        </w:rPr>
        <w:t xml:space="preserve">0-16:00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商务洽谈</w:t>
      </w:r>
      <w:r>
        <w:rPr>
          <w:rFonts w:hint="eastAsia" w:ascii="仿宋_GB2312" w:eastAsia="仿宋_GB2312" w:cs="AdobeHeitiStd-Regular"/>
          <w:sz w:val="32"/>
          <w:szCs w:val="32"/>
        </w:rPr>
        <w:t>会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（责任部门：宁夏农垦集团市场部、宁夏农垦西夏王葡萄酒贸易公司、宁垦农庄）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</w:rPr>
        <w:t>地点：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</w:t>
      </w:r>
      <w:r>
        <w:rPr>
          <w:rFonts w:hint="eastAsia" w:ascii="仿宋_GB2312" w:eastAsia="仿宋_GB2312" w:cs="AdobeHeitiStd-Regular"/>
          <w:sz w:val="32"/>
          <w:szCs w:val="32"/>
        </w:rPr>
        <w:t>西夏王玉泉国际酒庄多功能厅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、各小会议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</w:rPr>
        <w:t>6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.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HeitiStd-Regular"/>
          <w:sz w:val="32"/>
          <w:szCs w:val="32"/>
        </w:rPr>
        <w:t>0-1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AdobeHeitiStd-Regular"/>
          <w:sz w:val="32"/>
          <w:szCs w:val="32"/>
        </w:rPr>
        <w:t>: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HeitiStd-Regular"/>
          <w:sz w:val="32"/>
          <w:szCs w:val="32"/>
        </w:rPr>
        <w:t>0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统一乘车返回住地。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AdobeHeitiStd-Regular"/>
          <w:b/>
          <w:sz w:val="32"/>
          <w:szCs w:val="32"/>
        </w:rPr>
      </w:pPr>
      <w:r>
        <w:rPr>
          <w:rFonts w:hint="eastAsia" w:ascii="黑体" w:hAnsi="黑体" w:eastAsia="黑体" w:cs="AdobeHeitiStd-Regular"/>
          <w:b/>
          <w:sz w:val="32"/>
          <w:szCs w:val="32"/>
        </w:rPr>
        <w:t>七、活动筹备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成立2019年中国农民丰收节农垦晒丰收暨“智慧农垦万里行”宁夏垦区站活动领导小组。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组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长：金生平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宁夏农垦集团有限公司总经理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副组长：苟金萍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宁夏农垦集团有限公司副总经理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      雷建武  宁夏农垦集团有限公司纪委书记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杨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舵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宁夏农垦集团有限公司副总经理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成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员：黄泽宁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陈洪仓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石志刚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金万祥  王占伟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康建宁  邵方海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周吉清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刘希凤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魏蓉蓉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马慧斌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杨鹏礼  徐晓军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程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曦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张  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领导小组下设现场组、外联组、宣传组、后勤保障组。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（二）任务分工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 w:cs="AdobeHeitiStd-Regular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AdobeHeitiStd-Regular"/>
          <w:b/>
          <w:bCs/>
          <w:sz w:val="32"/>
          <w:szCs w:val="32"/>
          <w:lang w:eastAsia="zh-CN"/>
        </w:rPr>
        <w:t>现场组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组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长：苟金萍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成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员：金万祥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王占伟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邵方海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杨鹏礼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俞惠明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主要职责：中垦电商负责启动仪式背景图设计；宁夏农垦负责启动仪式</w:t>
      </w:r>
      <w:r>
        <w:rPr>
          <w:rFonts w:hint="eastAsia" w:ascii="仿宋_GB2312" w:hAnsi="仿宋" w:eastAsia="仿宋_GB2312" w:cs="仿宋_GB2312"/>
          <w:sz w:val="32"/>
          <w:szCs w:val="32"/>
        </w:rPr>
        <w:t>舞台、展销等现场布置、氛围营造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活动相关物料采购、制作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葡萄产业参观体验活动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 w:cs="AdobeHeitiStd-Regular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b/>
          <w:bCs/>
          <w:sz w:val="32"/>
          <w:szCs w:val="32"/>
          <w:lang w:val="en-US" w:eastAsia="zh-CN"/>
        </w:rPr>
        <w:t>2.外联组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组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长：杨舵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成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员：石志刚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陈洪仓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周吉清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刘希凤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魏蓉蓉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马慧斌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白天华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徐晓军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主要职责：协调兄弟垦区携产品参加活动；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协调自治区政府批准活动；协调自治区农业农村厅参加活动；联系组织垦区各单位参展，联系各垦区特色农产品参展。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 w:cs="AdobeHeitiStd-Regular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b/>
          <w:bCs/>
          <w:sz w:val="32"/>
          <w:szCs w:val="32"/>
          <w:lang w:val="en-US" w:eastAsia="zh-CN"/>
        </w:rPr>
        <w:t>3.宣传组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组  长：雷建武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成  员：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邵方海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魏蓉蓉  杨鹏礼  徐晓军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_GB2312" w:eastAsia="仿宋_GB2312" w:cs="AdobeHeitiStd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程  曦  钱  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主要职责：负责</w:t>
      </w:r>
      <w:r>
        <w:rPr>
          <w:rFonts w:hint="eastAsia" w:ascii="仿宋_GB2312" w:eastAsia="仿宋_GB2312" w:cs="AdobeHeitiStd-Regular"/>
          <w:sz w:val="32"/>
          <w:szCs w:val="32"/>
        </w:rPr>
        <w:t>启动仪式、推介会、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商务洽谈</w:t>
      </w:r>
      <w:r>
        <w:rPr>
          <w:rFonts w:hint="eastAsia" w:ascii="仿宋_GB2312" w:eastAsia="仿宋_GB2312" w:cs="AdobeHeitiStd-Regular"/>
          <w:sz w:val="32"/>
          <w:szCs w:val="32"/>
        </w:rPr>
        <w:t>会组织安排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，销售平台及区内外新闻媒体对接，前期宣传氛围营造、主持人邀请等。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 w:cs="AdobeHeitiStd-Regular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AdobeHeitiStd-Regular"/>
          <w:b/>
          <w:bCs/>
          <w:sz w:val="32"/>
          <w:szCs w:val="32"/>
          <w:lang w:val="en-US" w:eastAsia="zh-CN"/>
        </w:rPr>
        <w:t>4.后勤保障组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组长：雷建武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成员：黄泽宁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马慧斌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郭惠萍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殷勇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张青</w:t>
      </w: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郝小娟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主要职责：负责区外</w:t>
      </w:r>
      <w:r>
        <w:rPr>
          <w:rFonts w:hint="eastAsia" w:ascii="仿宋_GB2312" w:eastAsia="仿宋_GB2312" w:cs="AdobeHeitiStd-Regular"/>
          <w:sz w:val="32"/>
          <w:szCs w:val="32"/>
        </w:rPr>
        <w:t>嘉宾接送机、食宿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，市区</w:t>
      </w:r>
      <w:r>
        <w:rPr>
          <w:rFonts w:hint="eastAsia" w:ascii="仿宋_GB2312" w:eastAsia="仿宋_GB2312" w:cs="AdobeHeitiStd-Regular"/>
          <w:sz w:val="32"/>
          <w:szCs w:val="32"/>
        </w:rPr>
        <w:t>到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西夏王酒业公司</w:t>
      </w:r>
      <w:r>
        <w:rPr>
          <w:rFonts w:hint="eastAsia" w:ascii="仿宋_GB2312" w:eastAsia="仿宋_GB2312" w:cs="AdobeHeitiStd-Regular"/>
          <w:sz w:val="32"/>
          <w:szCs w:val="32"/>
        </w:rPr>
        <w:t>交通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活动当天工作餐接待安排</w:t>
      </w:r>
      <w:r>
        <w:rPr>
          <w:rFonts w:hint="eastAsia" w:ascii="仿宋_GB2312" w:eastAsia="仿宋_GB2312" w:cs="AdobeHeitiStd-Regular"/>
          <w:sz w:val="32"/>
          <w:szCs w:val="32"/>
        </w:rPr>
        <w:t>等接待</w:t>
      </w: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</w:p>
    <w:p>
      <w:pPr>
        <w:snapToGrid w:val="0"/>
        <w:spacing w:line="52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中国农垦经济发展中心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eastAsia="仿宋_GB2312" w:cs="AdobeHeitiStd-Regular"/>
          <w:sz w:val="32"/>
          <w:szCs w:val="32"/>
          <w:lang w:eastAsia="zh-CN"/>
        </w:rPr>
      </w:pPr>
      <w:r>
        <w:rPr>
          <w:rFonts w:hint="eastAsia" w:ascii="仿宋_GB2312" w:eastAsia="仿宋_GB2312" w:cs="AdobeHeitiStd-Regular"/>
          <w:sz w:val="32"/>
          <w:szCs w:val="32"/>
          <w:lang w:eastAsia="zh-CN"/>
        </w:rPr>
        <w:t>宁夏农垦集团有限公司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5120" w:firstLineChars="1600"/>
        <w:jc w:val="both"/>
        <w:textAlignment w:val="auto"/>
        <w:outlineLvl w:val="9"/>
      </w:pPr>
      <w:r>
        <w:rPr>
          <w:rFonts w:hint="eastAsia" w:ascii="仿宋_GB2312" w:eastAsia="仿宋_GB2312" w:cs="AdobeHeitiStd-Regular"/>
          <w:sz w:val="32"/>
          <w:szCs w:val="32"/>
          <w:lang w:val="en-US" w:eastAsia="zh-CN"/>
        </w:rPr>
        <w:t>2019年9月9日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HeitiStd-Regular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756F"/>
    <w:rsid w:val="30A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2019-09-09T05:39:00Z</dcterms:created>
  <dc:creator>杨雅娜</dc:creator>
  <cp:lastModifiedBy>杨雅娜</cp:lastModifiedBy>
  <dcterms:modified xsi:type="dcterms:W3CDTF">2019-09-09T05:40:27Z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